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3067" w:rsidRDefault="00273067" w:rsidP="00273067">
      <w:pPr>
        <w:pStyle w:val="1"/>
      </w:pPr>
      <w:bookmarkStart w:id="0" w:name="_Toc175821033"/>
      <w:r w:rsidRPr="00087DBE">
        <w:t>TÓM TẮT ĐỀ ÁN</w:t>
      </w:r>
      <w:bookmarkEnd w:id="0"/>
    </w:p>
    <w:p w:rsidR="00273067" w:rsidRPr="00087DBE" w:rsidRDefault="00273067" w:rsidP="00273067">
      <w:pPr>
        <w:spacing w:before="120" w:line="324" w:lineRule="auto"/>
        <w:jc w:val="center"/>
        <w:rPr>
          <w:b/>
          <w:bCs/>
          <w:szCs w:val="26"/>
        </w:rPr>
      </w:pPr>
    </w:p>
    <w:p w:rsidR="00273067" w:rsidRPr="004A0BE7" w:rsidRDefault="00273067" w:rsidP="00273067">
      <w:pPr>
        <w:spacing w:before="120" w:line="324" w:lineRule="auto"/>
        <w:rPr>
          <w:szCs w:val="26"/>
        </w:rPr>
      </w:pPr>
      <w:r w:rsidRPr="004A0BE7">
        <w:rPr>
          <w:szCs w:val="26"/>
        </w:rPr>
        <w:t xml:space="preserve"> Quản lý chi thường xuyên ngân sách phường tại UBND quận Hai Bà Trưng đã tuân thủ các quy định của Luật ngân sách nhà nước. Tuy nhiên, quản lý chi vẫn còn những vấn đề chưa khắc phục, ảnh hưởng đến chi thường xuyên ngân sách phường.</w:t>
      </w:r>
    </w:p>
    <w:p w:rsidR="00273067" w:rsidRPr="00F175B6" w:rsidRDefault="00273067" w:rsidP="00273067">
      <w:pPr>
        <w:spacing w:before="120" w:line="324" w:lineRule="auto"/>
        <w:rPr>
          <w:b/>
          <w:szCs w:val="26"/>
        </w:rPr>
      </w:pPr>
      <w:r w:rsidRPr="004A0BE7">
        <w:rPr>
          <w:szCs w:val="26"/>
        </w:rPr>
        <w:t>Sau khi nghiên cứu đề tài “</w:t>
      </w:r>
      <w:r w:rsidRPr="004A0BE7">
        <w:rPr>
          <w:i/>
          <w:iCs/>
          <w:szCs w:val="26"/>
        </w:rPr>
        <w:t>Quản lý chi thường xuyên ngân sách phường tại UBND quận Hai Bà Trưng, thành phố Hà Nội</w:t>
      </w:r>
      <w:r w:rsidRPr="004A0BE7">
        <w:rPr>
          <w:szCs w:val="26"/>
        </w:rPr>
        <w:t>”. Đề án đã đạt được những kết quả: 1) Đã xác định được khung nghiên cứu quản lý chi thường xuyên ngân sách phường tại UBND quận; 2) Phân tích được thực trạng quản lý chi thường xuyên ngân sách phường tại UBND quận Hai Bà Trưng giai đoạn 2021-2023; 3) Đề xuất giải pháp hoàn thiện quản lý chi thường xuyên ngân sách phường tại UBND quận Hai Bà Trưng đến năm 2030</w:t>
      </w:r>
      <w:r>
        <w:rPr>
          <w:szCs w:val="26"/>
        </w:rPr>
        <w:t xml:space="preserve">. </w:t>
      </w:r>
      <w:r w:rsidRPr="004A0BE7">
        <w:rPr>
          <w:szCs w:val="26"/>
        </w:rPr>
        <w:t xml:space="preserve">Một số giải pháp </w:t>
      </w:r>
      <w:r>
        <w:rPr>
          <w:szCs w:val="26"/>
        </w:rPr>
        <w:t>như sau</w:t>
      </w:r>
      <w:r w:rsidRPr="004A0BE7">
        <w:rPr>
          <w:szCs w:val="26"/>
        </w:rPr>
        <w:t>:</w:t>
      </w:r>
    </w:p>
    <w:p w:rsidR="00273067" w:rsidRPr="004A0BE7" w:rsidRDefault="00273067" w:rsidP="00273067">
      <w:pPr>
        <w:spacing w:before="120" w:line="324" w:lineRule="auto"/>
        <w:rPr>
          <w:bCs/>
          <w:szCs w:val="26"/>
        </w:rPr>
      </w:pPr>
      <w:r w:rsidRPr="004A0BE7">
        <w:rPr>
          <w:szCs w:val="26"/>
        </w:rPr>
        <w:t xml:space="preserve">- Về bộ máy quản lý </w:t>
      </w:r>
      <w:r w:rsidRPr="004A0BE7">
        <w:rPr>
          <w:bCs/>
          <w:szCs w:val="26"/>
        </w:rPr>
        <w:t>chi thường xuyên ngân sách phường</w:t>
      </w:r>
      <w:r w:rsidRPr="004A0BE7">
        <w:rPr>
          <w:szCs w:val="26"/>
        </w:rPr>
        <w:t xml:space="preserve">: Tập trung </w:t>
      </w:r>
      <w:r w:rsidRPr="004A0BE7">
        <w:rPr>
          <w:bCs/>
          <w:szCs w:val="26"/>
        </w:rPr>
        <w:t>bồi dưỡng về</w:t>
      </w:r>
      <w:r w:rsidRPr="004A0BE7">
        <w:rPr>
          <w:szCs w:val="26"/>
        </w:rPr>
        <w:t xml:space="preserve"> chuyển đổi số trong quản lý hành chính, quản lý tài chính; </w:t>
      </w:r>
      <w:r w:rsidRPr="004A0BE7">
        <w:rPr>
          <w:bCs/>
          <w:szCs w:val="26"/>
        </w:rPr>
        <w:t>bồi dưỡng về kỹ năng hướng dẫn, trao đổi, thảo luận, đôn đốc, giải quyết các kiến nghị của UBND phường.</w:t>
      </w:r>
    </w:p>
    <w:p w:rsidR="00273067" w:rsidRPr="004A0BE7" w:rsidRDefault="00273067" w:rsidP="00273067">
      <w:pPr>
        <w:spacing w:before="120" w:line="324" w:lineRule="auto"/>
        <w:rPr>
          <w:szCs w:val="26"/>
        </w:rPr>
      </w:pPr>
      <w:r w:rsidRPr="004A0BE7">
        <w:rPr>
          <w:bCs/>
          <w:szCs w:val="26"/>
        </w:rPr>
        <w:t xml:space="preserve">- Về lập kế hoạch chi thường xuyên ngân sách phường: </w:t>
      </w:r>
      <w:r w:rsidRPr="004A0BE7">
        <w:rPr>
          <w:bCs/>
          <w:szCs w:val="26"/>
          <w:lang w:val="it-IT"/>
        </w:rPr>
        <w:t xml:space="preserve">Phòng </w:t>
      </w:r>
      <w:r>
        <w:rPr>
          <w:bCs/>
          <w:szCs w:val="26"/>
          <w:lang w:val="it-IT"/>
        </w:rPr>
        <w:t>TC-KH</w:t>
      </w:r>
      <w:r w:rsidRPr="004A0BE7">
        <w:rPr>
          <w:bCs/>
          <w:szCs w:val="26"/>
          <w:lang w:val="it-IT"/>
        </w:rPr>
        <w:t xml:space="preserve"> quan tâm hơn việc hướng dẫn cho các UBND phường trong xây dựng dự toán chi</w:t>
      </w:r>
      <w:r w:rsidRPr="004A0BE7">
        <w:rPr>
          <w:szCs w:val="26"/>
        </w:rPr>
        <w:t xml:space="preserve">; </w:t>
      </w:r>
      <w:r w:rsidRPr="004A0BE7">
        <w:rPr>
          <w:bCs/>
          <w:szCs w:val="26"/>
        </w:rPr>
        <w:t>UBND quận cân đối để xác định các nhiệm vụ cần thiết, có thuyết minh đầy đủ để đưa vào dự toán</w:t>
      </w:r>
      <w:r>
        <w:rPr>
          <w:szCs w:val="26"/>
        </w:rPr>
        <w:t xml:space="preserve">. </w:t>
      </w:r>
    </w:p>
    <w:p w:rsidR="00273067" w:rsidRPr="004A0BE7" w:rsidRDefault="00273067" w:rsidP="00273067">
      <w:pPr>
        <w:spacing w:before="120" w:line="324" w:lineRule="auto"/>
        <w:rPr>
          <w:szCs w:val="26"/>
        </w:rPr>
      </w:pPr>
      <w:r w:rsidRPr="004A0BE7">
        <w:rPr>
          <w:szCs w:val="26"/>
        </w:rPr>
        <w:t xml:space="preserve">- Về </w:t>
      </w:r>
      <w:r w:rsidRPr="00F175B6">
        <w:rPr>
          <w:spacing w:val="-8"/>
          <w:szCs w:val="26"/>
        </w:rPr>
        <w:t>tổ chức thực hiện kế hoạch chi thường xuyên ngân sách phường</w:t>
      </w:r>
      <w:r w:rsidRPr="004A0BE7">
        <w:rPr>
          <w:szCs w:val="26"/>
        </w:rPr>
        <w:t>:</w:t>
      </w:r>
      <w:r w:rsidRPr="004A0BE7">
        <w:rPr>
          <w:spacing w:val="3"/>
          <w:szCs w:val="26"/>
          <w:shd w:val="clear" w:color="auto" w:fill="FFFFFF"/>
        </w:rPr>
        <w:t xml:space="preserve"> Nhân lực kế toán – tài chính tại các UBND phường cần được đào tạo cập nhật liên tục về các chế độ, chính sách mới; </w:t>
      </w:r>
      <w:r w:rsidRPr="004A0BE7">
        <w:rPr>
          <w:bCs/>
          <w:szCs w:val="26"/>
        </w:rPr>
        <w:t xml:space="preserve">Việc luân chuyển nhân lực tài chính – kế toán cần xuất phát từ thực tiễn; UBND Quận </w:t>
      </w:r>
      <w:r w:rsidRPr="004A0BE7">
        <w:rPr>
          <w:szCs w:val="26"/>
        </w:rPr>
        <w:t xml:space="preserve">tập trung vào một số nội dung </w:t>
      </w:r>
      <w:r w:rsidRPr="004A0BE7">
        <w:rPr>
          <w:bCs/>
          <w:szCs w:val="26"/>
        </w:rPr>
        <w:t>hướng dẫn chủ yếu cho các UBND phường</w:t>
      </w:r>
      <w:r w:rsidRPr="004A0BE7">
        <w:rPr>
          <w:szCs w:val="26"/>
        </w:rPr>
        <w:t xml:space="preserve"> trong chấp hành chi; </w:t>
      </w:r>
      <w:r w:rsidRPr="004A0BE7">
        <w:rPr>
          <w:bCs/>
          <w:szCs w:val="26"/>
        </w:rPr>
        <w:t>Nâng cao chất lượng thẩm định, xét, duyệt quyết toán của UBND Quận đối với quyết toán ch</w:t>
      </w:r>
      <w:r>
        <w:rPr>
          <w:bCs/>
          <w:szCs w:val="26"/>
        </w:rPr>
        <w:t>i</w:t>
      </w:r>
      <w:r w:rsidRPr="004A0BE7">
        <w:rPr>
          <w:szCs w:val="26"/>
        </w:rPr>
        <w:t xml:space="preserve">; </w:t>
      </w:r>
      <w:r w:rsidRPr="004A0BE7">
        <w:rPr>
          <w:szCs w:val="26"/>
          <w:shd w:val="clear" w:color="auto" w:fill="FFFFFF"/>
        </w:rPr>
        <w:t xml:space="preserve">Tập trung giải quyết các kiến nghị như các kiến nghị về </w:t>
      </w:r>
      <w:r w:rsidRPr="004A0BE7">
        <w:rPr>
          <w:bCs/>
          <w:szCs w:val="26"/>
        </w:rPr>
        <w:t>định mức chi</w:t>
      </w:r>
      <w:r w:rsidRPr="004A0BE7">
        <w:rPr>
          <w:szCs w:val="26"/>
          <w:shd w:val="clear" w:color="auto" w:fill="FFFFFF"/>
        </w:rPr>
        <w:t xml:space="preserve">, </w:t>
      </w:r>
      <w:r w:rsidRPr="004A0BE7">
        <w:rPr>
          <w:bCs/>
          <w:szCs w:val="26"/>
        </w:rPr>
        <w:t xml:space="preserve">chế độ chi sau khi </w:t>
      </w:r>
      <w:r w:rsidRPr="004A0BE7">
        <w:rPr>
          <w:szCs w:val="26"/>
        </w:rPr>
        <w:t>sắp xếp đơn vị hành chính…</w:t>
      </w:r>
    </w:p>
    <w:p w:rsidR="00273067" w:rsidRPr="004A0BE7" w:rsidRDefault="00273067" w:rsidP="00273067">
      <w:pPr>
        <w:spacing w:before="120" w:line="324" w:lineRule="auto"/>
        <w:rPr>
          <w:szCs w:val="26"/>
        </w:rPr>
      </w:pPr>
      <w:r w:rsidRPr="004A0BE7">
        <w:rPr>
          <w:szCs w:val="26"/>
        </w:rPr>
        <w:t xml:space="preserve">- Về kiểm soát chi thường xuyên ngân sách phường: </w:t>
      </w:r>
      <w:r w:rsidRPr="004A0BE7">
        <w:rPr>
          <w:bCs/>
          <w:szCs w:val="26"/>
        </w:rPr>
        <w:t>Tăng cường vai trò của kiểm soát nội bộ, trong đó có Thanh tra quận; Kiểm soát trước chi cần tập trung kiểm soát việc lập dự toán hàng năm và kiểm soát việc hướng dẫn của UBND quận đối với các UBND phường trong lập dự toán chi</w:t>
      </w:r>
      <w:r w:rsidRPr="004A0BE7">
        <w:rPr>
          <w:szCs w:val="26"/>
        </w:rPr>
        <w:t xml:space="preserve">; </w:t>
      </w:r>
      <w:r w:rsidRPr="004A0BE7">
        <w:rPr>
          <w:bCs/>
          <w:szCs w:val="26"/>
        </w:rPr>
        <w:t xml:space="preserve">Kiểm soát sau chi thường xuyên cần chú trọng kiểm soát nguyên nhân chênh lệch dự toán, quyết toán chi thường xuyên. </w:t>
      </w:r>
    </w:p>
    <w:p w:rsidR="007A4C7E" w:rsidRDefault="007A4C7E"/>
    <w:sectPr w:rsidR="007A4C7E" w:rsidSect="003A285C">
      <w:pgSz w:w="11907" w:h="16840" w:code="9"/>
      <w:pgMar w:top="1418" w:right="1134"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67"/>
    <w:rsid w:val="00273067"/>
    <w:rsid w:val="003A285C"/>
    <w:rsid w:val="007A4C7E"/>
    <w:rsid w:val="00E2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65A20-5E82-4152-BC01-BFE70473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067"/>
    <w:pPr>
      <w:widowControl w:val="0"/>
      <w:spacing w:after="0" w:line="360" w:lineRule="auto"/>
      <w:ind w:firstLine="720"/>
      <w:contextualSpacing/>
      <w:jc w:val="both"/>
    </w:pPr>
    <w:rPr>
      <w:rFonts w:ascii="Times New Roman" w:eastAsia="Times New Roman" w:hAnsi="Times New Roman" w:cs="Times New Roman"/>
      <w:kern w:val="0"/>
      <w:sz w:val="26"/>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har"/>
    <w:qFormat/>
    <w:rsid w:val="00273067"/>
    <w:pPr>
      <w:widowControl/>
      <w:autoSpaceDE w:val="0"/>
      <w:autoSpaceDN w:val="0"/>
      <w:adjustRightInd w:val="0"/>
      <w:spacing w:line="312" w:lineRule="auto"/>
      <w:ind w:firstLine="0"/>
      <w:contextualSpacing w:val="0"/>
      <w:jc w:val="center"/>
    </w:pPr>
    <w:rPr>
      <w:rFonts w:eastAsia="Calibri"/>
      <w:b/>
      <w:sz w:val="28"/>
      <w:szCs w:val="20"/>
      <w:lang w:val="x-none" w:eastAsia="ar-SA"/>
    </w:rPr>
  </w:style>
  <w:style w:type="character" w:customStyle="1" w:styleId="1Char">
    <w:name w:val="1 Char"/>
    <w:link w:val="1"/>
    <w:locked/>
    <w:rsid w:val="00273067"/>
    <w:rPr>
      <w:rFonts w:ascii="Times New Roman" w:eastAsia="Calibri" w:hAnsi="Times New Roman" w:cs="Times New Roman"/>
      <w:b/>
      <w:kern w:val="0"/>
      <w:sz w:val="28"/>
      <w:szCs w:val="20"/>
      <w:lang w:val="x-none"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2024-10-02T00:58:00Z</dcterms:created>
  <dcterms:modified xsi:type="dcterms:W3CDTF">2024-10-02T01:00:00Z</dcterms:modified>
</cp:coreProperties>
</file>