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0505B" w14:textId="77777777" w:rsidR="005A4226" w:rsidRDefault="005A4226" w:rsidP="005A4226">
      <w:pPr>
        <w:pStyle w:val="1"/>
      </w:pPr>
      <w:bookmarkStart w:id="0" w:name="_Toc181842012"/>
      <w:r>
        <w:t>TÓM TẮT ĐỀ ÁN</w:t>
      </w:r>
      <w:bookmarkEnd w:id="0"/>
    </w:p>
    <w:p w14:paraId="3F6795AA" w14:textId="77777777" w:rsidR="005A4226" w:rsidRPr="00305D6A" w:rsidRDefault="005A4226" w:rsidP="005A4226">
      <w:pPr>
        <w:pStyle w:val="1"/>
        <w:spacing w:before="120" w:line="312" w:lineRule="auto"/>
        <w:rPr>
          <w:sz w:val="20"/>
          <w:szCs w:val="16"/>
          <w:lang w:val="vi-VN"/>
        </w:rPr>
      </w:pPr>
    </w:p>
    <w:p w14:paraId="03E57619" w14:textId="77777777" w:rsidR="005A4226" w:rsidRPr="000D4A0D" w:rsidRDefault="005A4226" w:rsidP="005A4226">
      <w:pPr>
        <w:pStyle w:val="Q"/>
        <w:rPr>
          <w:sz w:val="26"/>
          <w:lang w:val="en-US"/>
        </w:rPr>
      </w:pPr>
      <w:r w:rsidRPr="000D4A0D">
        <w:rPr>
          <w:sz w:val="26"/>
          <w:lang w:val="en-US"/>
        </w:rPr>
        <w:t>Trên cơ sở nghiên cứu lý luận và thực tiễn về quản lý thu NSNN trên địa bàn tỉnh Cao Bằng, luận văn rút ra một số kết luận sau:</w:t>
      </w:r>
    </w:p>
    <w:p w14:paraId="14F060AC" w14:textId="77777777" w:rsidR="005A4226" w:rsidRPr="000D4A0D" w:rsidRDefault="005A4226" w:rsidP="005A4226">
      <w:pPr>
        <w:pStyle w:val="Q"/>
        <w:rPr>
          <w:spacing w:val="-4"/>
          <w:sz w:val="26"/>
          <w:lang w:val="en-US"/>
        </w:rPr>
      </w:pPr>
      <w:r w:rsidRPr="000D4A0D">
        <w:rPr>
          <w:spacing w:val="-4"/>
          <w:sz w:val="26"/>
          <w:lang w:val="en-US"/>
        </w:rPr>
        <w:t>Quản lý thu NSNN là sự phối hợp giữa các cơ quan liên quan trong việc hoạch định kế hoạch, tổ chức triển khai kế hoạch thu và phối hợp, kiểm tra, đánh giá quá trình thực hiện kế hoạch thu. Để thực hiện có kết quả công việc quản lý thu NSNN thì điều quan trọng là phải biết bố trí nguồn lực như nhân lực, vật lực, tài lực sao cho hợp lý. Tăng cường giám sát thu ngân sách nhà nước là một nhiệm vụ cốt lõi và cấp bách đối với tỉnh Cao Bằng trong bối cảnh nền kinh tế đang phát triển và nhu cầu chi tiêu công ngày càng gia tăng. Hiện trạng thu ngân sách tại tỉnh vẫn đối mặt với nhiều thách thức như tình trạng nợ đọng thuế, khó khăn trong việc xác định nguồn thu, và hiệu quả quản lý tài chính chưa cao.</w:t>
      </w:r>
    </w:p>
    <w:p w14:paraId="64B953D0" w14:textId="77777777" w:rsidR="005A4226" w:rsidRPr="000D4A0D" w:rsidRDefault="005A4226" w:rsidP="005A4226">
      <w:pPr>
        <w:pStyle w:val="Q"/>
        <w:rPr>
          <w:sz w:val="26"/>
          <w:lang w:val="en-US"/>
        </w:rPr>
      </w:pPr>
      <w:r w:rsidRPr="000D4A0D">
        <w:rPr>
          <w:sz w:val="26"/>
          <w:lang w:val="en-US"/>
        </w:rPr>
        <w:t>Quản lý thu NSNN chịu sự chi phối của nhiều nhóm nhân tố, trong đó, cơ chế, chính sách, chất lượng tổ chức bộ máy, công nghệ thông tin... Kinh nghiệm quản lý thu NSNN ở một số địa phương trong nước cho thấy, việc nâng cao chất lượng thu NSNN phụ thuộc rất nhiều vào khả năng và hiệu quả của công tác quản lý nhà nước.</w:t>
      </w:r>
    </w:p>
    <w:p w14:paraId="34D14EA5" w14:textId="77777777" w:rsidR="005A4226" w:rsidRPr="000D4A0D" w:rsidRDefault="005A4226" w:rsidP="005A4226">
      <w:pPr>
        <w:pStyle w:val="Q"/>
        <w:rPr>
          <w:spacing w:val="-4"/>
          <w:sz w:val="26"/>
          <w:lang w:val="en-US"/>
        </w:rPr>
      </w:pPr>
      <w:r w:rsidRPr="000D4A0D">
        <w:rPr>
          <w:spacing w:val="-4"/>
          <w:sz w:val="26"/>
          <w:lang w:val="en-US"/>
        </w:rPr>
        <w:t>Thực trạng quản lý nhà nước về thu NSNN của tỉnh Cao Bằng trong thời gian qua cũng cho thấy, quy mô, cơ cấu thu, chất lượng thu NSNN đã có nhiều tiến bộ so với giai đoạn trước. Tuy nhiên, nợ đọng thuế vẫn còn cao. Nguyên nhân xuất phát từ công tác quản lý thu NSNN vẫn còn một số bất cập cần tiếp tục đổi mới trong thời gian tới. Việc tăng cường giám sát thu ngân sách nhà nước không chỉ giúp tỉnh Cao Bằng đảm bảo nguồn thu ổn định và bền vững mà còn góp phần vào sự phát triển kinh tế xã hội của tỉnh. Để đạt được mục tiêu này, cần có sự hợp tác chặt chẽ giữa các cơ quan nhà nước, sự quyết tâm của các cấp lãnh đạo, và sự ủng hộ từ cộng đồng dân cư và doanh nghiệp.</w:t>
      </w:r>
    </w:p>
    <w:p w14:paraId="011AC05A" w14:textId="5CC2E1FD" w:rsidR="00BD3050" w:rsidRDefault="005A4226" w:rsidP="005A4226">
      <w:r w:rsidRPr="000D4A0D">
        <w:rPr>
          <w:sz w:val="26"/>
          <w:lang w:val="en-US"/>
        </w:rPr>
        <w:t>Chỉ khi thực hiện một cách đồng bộ và hiệu quả các biện pháp trên, tỉnh Cao Bằng mới có thể phát huy tối đa tiềm năng thu ngân sách, giảm thiểu tình trạng nợ đọng thuế và nâng cao hiệu quả quản lý tài chính công. Điều này không chỉ góp phần vào việc phát triển bền vững của tỉnh mà còn đóng góp tích cực vào ngân sách quốc gia, tạo nền tảng vững chắc cho một tương lai thịnh vượng và công bằng. Trong giai đoạn tới, nhu cầu vốn cho phát triển kinh tế, xã hội trên địa bàn tỉnh Cao Bằng ngày càng cao. Điều này có thể đáp ứng được hay không nhờ phần lớn vào việc tăng thu NSNN trên địa bàn tỉnh và sự hỗ trợ của NSNN cấp trên cũng như khả năng huy động các nguồn thu nước ngoài khác. Vì thế, cần triển khai đồng bộ các hệ thống giải pháp từ cơ chế, chính sách, hoàn thiện tổ chức bộ máy, ứng dụng</w:t>
      </w:r>
      <w:r w:rsidRPr="000D4A0D">
        <w:rPr>
          <w:lang w:val="en-US"/>
        </w:rPr>
        <w:t xml:space="preserve"> công nghệ thông tin...</w:t>
      </w:r>
    </w:p>
    <w:sectPr w:rsidR="00BD3050" w:rsidSect="003A52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226"/>
    <w:rsid w:val="003A5271"/>
    <w:rsid w:val="005A4226"/>
    <w:rsid w:val="00903648"/>
    <w:rsid w:val="00BD3050"/>
    <w:rsid w:val="00DB7D4D"/>
    <w:rsid w:val="00DF1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36E0C"/>
  <w15:chartTrackingRefBased/>
  <w15:docId w15:val="{0E6BAF36-2E07-4D6E-AC35-2067562C8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226"/>
    <w:rPr>
      <w:rFonts w:ascii="Calibri" w:eastAsia="Calibri" w:hAnsi="Calibri" w:cs="Calibri"/>
      <w:sz w:val="2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link w:val="1Char"/>
    <w:qFormat/>
    <w:rsid w:val="005A4226"/>
    <w:pPr>
      <w:spacing w:after="0" w:line="288" w:lineRule="auto"/>
      <w:jc w:val="center"/>
      <w:outlineLvl w:val="0"/>
    </w:pPr>
    <w:rPr>
      <w:rFonts w:ascii="Times New Roman" w:eastAsiaTheme="minorHAnsi" w:hAnsi="Times New Roman" w:cs="Times New Roman"/>
      <w:b/>
      <w:sz w:val="28"/>
      <w:szCs w:val="28"/>
      <w:lang w:val="en-US"/>
    </w:rPr>
  </w:style>
  <w:style w:type="character" w:customStyle="1" w:styleId="1Char">
    <w:name w:val="1 Char"/>
    <w:link w:val="1"/>
    <w:rsid w:val="005A4226"/>
    <w:rPr>
      <w:rFonts w:cs="Times New Roman"/>
      <w:b/>
      <w:sz w:val="28"/>
      <w:szCs w:val="28"/>
    </w:rPr>
  </w:style>
  <w:style w:type="paragraph" w:customStyle="1" w:styleId="Q">
    <w:name w:val="Q"/>
    <w:basedOn w:val="Normal"/>
    <w:qFormat/>
    <w:rsid w:val="005A4226"/>
    <w:pPr>
      <w:widowControl w:val="0"/>
      <w:spacing w:before="120" w:after="0" w:line="312" w:lineRule="auto"/>
      <w:ind w:firstLine="720"/>
      <w:jc w:val="both"/>
    </w:pPr>
    <w:rPr>
      <w:rFonts w:ascii="Times New Roman" w:hAnsi="Times New Roman" w:cs="Times New Roman"/>
      <w:sz w:val="28"/>
      <w:szCs w:val="26"/>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2024-11-08T10:39:00Z</dcterms:created>
  <dcterms:modified xsi:type="dcterms:W3CDTF">2024-11-08T10:39:00Z</dcterms:modified>
</cp:coreProperties>
</file>