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9E8A5" w14:textId="77777777" w:rsidR="00370867" w:rsidRPr="00D17F23" w:rsidRDefault="00370867" w:rsidP="00370867">
      <w:pPr>
        <w:pStyle w:val="1"/>
        <w:spacing w:before="120" w:line="312" w:lineRule="auto"/>
        <w:rPr>
          <w:lang w:val="en-US"/>
        </w:rPr>
      </w:pPr>
      <w:bookmarkStart w:id="0" w:name="_Toc181652027"/>
      <w:r w:rsidRPr="00D17F23">
        <w:rPr>
          <w:lang w:val="en-US"/>
        </w:rPr>
        <w:t>TÓM TẮT KẾT QUẢ NGHIÊN CỨU ĐỀ ÁN</w:t>
      </w:r>
      <w:bookmarkEnd w:id="0"/>
    </w:p>
    <w:p w14:paraId="1ABEC8D4" w14:textId="77777777" w:rsidR="00370867" w:rsidRPr="00D17F23" w:rsidRDefault="00370867" w:rsidP="00370867">
      <w:pPr>
        <w:pStyle w:val="1"/>
        <w:spacing w:before="120" w:line="312" w:lineRule="auto"/>
        <w:rPr>
          <w:lang w:val="en-US"/>
        </w:rPr>
      </w:pPr>
    </w:p>
    <w:p w14:paraId="242B1A0D" w14:textId="39D29C04" w:rsidR="00370867" w:rsidRPr="00D17F23" w:rsidRDefault="00370867" w:rsidP="00370867">
      <w:pPr>
        <w:spacing w:before="120" w:line="312" w:lineRule="auto"/>
        <w:rPr>
          <w:rFonts w:eastAsia="Calibri"/>
          <w:spacing w:val="-2"/>
          <w:szCs w:val="26"/>
          <w:lang w:val="vi-VN"/>
        </w:rPr>
      </w:pPr>
      <w:r w:rsidRPr="00D17F23">
        <w:rPr>
          <w:rFonts w:eastAsia="Calibri"/>
          <w:szCs w:val="26"/>
        </w:rPr>
        <w:t>Đ</w:t>
      </w:r>
      <w:r w:rsidRPr="00D17F23">
        <w:rPr>
          <w:rFonts w:eastAsia="Calibri"/>
          <w:szCs w:val="26"/>
          <w:lang w:val="vi-VN"/>
        </w:rPr>
        <w:t xml:space="preserve">ề </w:t>
      </w:r>
      <w:r w:rsidRPr="00D17F23">
        <w:rPr>
          <w:rFonts w:eastAsia="Calibri"/>
          <w:szCs w:val="26"/>
        </w:rPr>
        <w:t>án</w:t>
      </w:r>
      <w:r w:rsidRPr="00D17F23">
        <w:rPr>
          <w:rFonts w:eastAsia="Calibri"/>
          <w:szCs w:val="26"/>
          <w:lang w:val="vi-VN"/>
        </w:rPr>
        <w:t>: “</w:t>
      </w:r>
      <w:r w:rsidR="00F57BE2" w:rsidRPr="00F57BE2">
        <w:rPr>
          <w:rFonts w:eastAsia="Calibri"/>
          <w:bCs/>
          <w:iCs/>
          <w:szCs w:val="26"/>
          <w:lang w:val="vi-VN"/>
        </w:rPr>
        <w:t>Quản lý thu thuế thu nhập cá nhân tại Chi cục Thuế khu vực II, tỉnh Lạng Sơn</w:t>
      </w:r>
      <w:r w:rsidRPr="00D17F23">
        <w:rPr>
          <w:rFonts w:eastAsia="Calibri"/>
          <w:szCs w:val="26"/>
          <w:lang w:val="vi-VN"/>
        </w:rPr>
        <w:t xml:space="preserve">” </w:t>
      </w:r>
      <w:r w:rsidRPr="00D17F23">
        <w:rPr>
          <w:rFonts w:eastAsia="Calibri"/>
          <w:szCs w:val="26"/>
        </w:rPr>
        <w:t xml:space="preserve">đã khái quát công tác </w:t>
      </w:r>
      <w:r w:rsidR="00F57BE2">
        <w:rPr>
          <w:snapToGrid w:val="0"/>
          <w:color w:val="000000" w:themeColor="text1"/>
          <w:szCs w:val="26"/>
          <w:lang w:val="nl-NL"/>
        </w:rPr>
        <w:t xml:space="preserve">quản lý </w:t>
      </w:r>
      <w:proofErr w:type="gramStart"/>
      <w:r w:rsidR="00F57BE2">
        <w:rPr>
          <w:snapToGrid w:val="0"/>
          <w:color w:val="000000" w:themeColor="text1"/>
          <w:szCs w:val="26"/>
          <w:lang w:val="nl-NL"/>
        </w:rPr>
        <w:t>thu</w:t>
      </w:r>
      <w:proofErr w:type="gramEnd"/>
      <w:r w:rsidR="00F57BE2">
        <w:rPr>
          <w:snapToGrid w:val="0"/>
          <w:color w:val="000000" w:themeColor="text1"/>
          <w:szCs w:val="26"/>
          <w:lang w:val="nl-NL"/>
        </w:rPr>
        <w:t xml:space="preserve"> thuế thu nhập cá nhân</w:t>
      </w:r>
      <w:r w:rsidRPr="00D17F23">
        <w:rPr>
          <w:rFonts w:eastAsia="Calibri"/>
          <w:szCs w:val="26"/>
        </w:rPr>
        <w:t xml:space="preserve"> tại </w:t>
      </w:r>
      <w:r w:rsidR="00F57BE2" w:rsidRPr="00F57BE2">
        <w:rPr>
          <w:rFonts w:eastAsia="Calibri"/>
          <w:bCs/>
          <w:iCs/>
          <w:szCs w:val="26"/>
          <w:lang w:val="vi-VN"/>
        </w:rPr>
        <w:t>Chi cục Thuế khu vực II, tỉnh Lạng Sơn</w:t>
      </w:r>
      <w:r w:rsidRPr="00D17F23">
        <w:rPr>
          <w:rFonts w:eastAsia="Calibri"/>
          <w:szCs w:val="26"/>
        </w:rPr>
        <w:t xml:space="preserve"> trong giai đoạn 2021 - 2023</w:t>
      </w:r>
      <w:r w:rsidRPr="00D17F23">
        <w:rPr>
          <w:rFonts w:eastAsia="Calibri"/>
          <w:szCs w:val="26"/>
          <w:lang w:val="vi-VN"/>
        </w:rPr>
        <w:t>.</w:t>
      </w:r>
    </w:p>
    <w:p w14:paraId="24931E92" w14:textId="1B8B1660" w:rsidR="00370867" w:rsidRPr="00F57BE2" w:rsidRDefault="00370867" w:rsidP="00F57BE2">
      <w:pPr>
        <w:spacing w:before="120" w:line="312" w:lineRule="auto"/>
        <w:rPr>
          <w:szCs w:val="26"/>
        </w:rPr>
      </w:pPr>
      <w:r w:rsidRPr="00D17F23">
        <w:rPr>
          <w:szCs w:val="26"/>
          <w:lang w:val="vi-VN"/>
        </w:rPr>
        <w:t xml:space="preserve">Đầu tiên, đề án hệ thống hóa cơ sở lý luận về quản lý thuế thu nhập cá nhân tại Chi cục Thuế từ khái niệm, đặc điểm </w:t>
      </w:r>
      <w:r w:rsidR="00F57BE2">
        <w:rPr>
          <w:szCs w:val="26"/>
        </w:rPr>
        <w:t>và vai</w:t>
      </w:r>
      <w:r w:rsidR="00F57BE2">
        <w:rPr>
          <w:noProof/>
          <w:color w:val="000000" w:themeColor="text1"/>
          <w:lang w:val="vi-VN"/>
        </w:rPr>
        <w:t xml:space="preserve"> trò</w:t>
      </w:r>
      <w:r w:rsidR="00F57BE2" w:rsidRPr="00D17F23">
        <w:rPr>
          <w:szCs w:val="26"/>
          <w:lang w:val="vi-VN"/>
        </w:rPr>
        <w:t xml:space="preserve"> </w:t>
      </w:r>
      <w:r w:rsidRPr="00D17F23">
        <w:rPr>
          <w:szCs w:val="26"/>
          <w:lang w:val="vi-VN"/>
        </w:rPr>
        <w:t xml:space="preserve">quản lý thuế thu nhập cá nhân tại Chi cục Thuế và </w:t>
      </w:r>
      <w:r w:rsidR="00F57BE2">
        <w:rPr>
          <w:szCs w:val="26"/>
        </w:rPr>
        <w:t>k</w:t>
      </w:r>
      <w:r w:rsidR="00F57BE2" w:rsidRPr="00F57BE2">
        <w:rPr>
          <w:szCs w:val="26"/>
          <w:lang w:val="vi-VN"/>
        </w:rPr>
        <w:t>hái quát về quản lý thu thuế thu nhập cá nhân</w:t>
      </w:r>
      <w:r w:rsidRPr="00D17F23">
        <w:rPr>
          <w:szCs w:val="26"/>
          <w:lang w:val="vi-VN"/>
        </w:rPr>
        <w:t xml:space="preserve"> quản lý thuế TNCN tại Chi cục Thuế. Tìm hiểu về quản lý </w:t>
      </w:r>
      <w:r w:rsidR="00F57BE2">
        <w:rPr>
          <w:szCs w:val="26"/>
        </w:rPr>
        <w:t xml:space="preserve">thu </w:t>
      </w:r>
      <w:r w:rsidRPr="00D17F23">
        <w:rPr>
          <w:szCs w:val="26"/>
          <w:lang w:val="vi-VN"/>
        </w:rPr>
        <w:t xml:space="preserve">thuế thu nhập cá nhân tại Chi cục Thuế </w:t>
      </w:r>
      <w:r w:rsidR="00F57BE2">
        <w:rPr>
          <w:szCs w:val="26"/>
        </w:rPr>
        <w:t xml:space="preserve">khu vực về khái </w:t>
      </w:r>
      <w:r w:rsidR="00F57BE2" w:rsidRPr="00F57BE2">
        <w:rPr>
          <w:szCs w:val="26"/>
          <w:lang w:val="vi-VN"/>
        </w:rPr>
        <w:t>niệm, mục tiêu</w:t>
      </w:r>
      <w:r w:rsidR="00F57BE2">
        <w:rPr>
          <w:szCs w:val="26"/>
        </w:rPr>
        <w:t>; b</w:t>
      </w:r>
      <w:r w:rsidR="00F57BE2" w:rsidRPr="00F57BE2">
        <w:rPr>
          <w:szCs w:val="26"/>
        </w:rPr>
        <w:t>ộ máy quản lý thu thuế</w:t>
      </w:r>
      <w:r w:rsidR="00F57BE2">
        <w:rPr>
          <w:szCs w:val="26"/>
        </w:rPr>
        <w:t>; nội</w:t>
      </w:r>
      <w:r w:rsidR="00F57BE2" w:rsidRPr="00F57BE2">
        <w:rPr>
          <w:szCs w:val="26"/>
        </w:rPr>
        <w:t xml:space="preserve"> dung quản lý thu thuế</w:t>
      </w:r>
      <w:r w:rsidR="00F57BE2">
        <w:rPr>
          <w:szCs w:val="26"/>
        </w:rPr>
        <w:t xml:space="preserve">: tuyên truyền, hỗ trợ NNT; </w:t>
      </w:r>
      <w:r w:rsidR="00F57BE2" w:rsidRPr="00F57BE2">
        <w:rPr>
          <w:szCs w:val="26"/>
        </w:rPr>
        <w:t xml:space="preserve">đăng ký thuế; khai thuế, nộp thuế, nợ thuế; quyết toán thuế, hoàn thuế; </w:t>
      </w:r>
      <w:r w:rsidR="00F57BE2">
        <w:rPr>
          <w:szCs w:val="26"/>
        </w:rPr>
        <w:t>kiểm tra thuế. Tìm hiểu về c</w:t>
      </w:r>
      <w:r w:rsidR="00F57BE2" w:rsidRPr="00F57BE2">
        <w:rPr>
          <w:szCs w:val="26"/>
        </w:rPr>
        <w:t xml:space="preserve">ác nhân tố ảnh hưởng tới quản lý </w:t>
      </w:r>
      <w:proofErr w:type="gramStart"/>
      <w:r w:rsidR="00F57BE2" w:rsidRPr="00F57BE2">
        <w:rPr>
          <w:szCs w:val="26"/>
        </w:rPr>
        <w:t>thu</w:t>
      </w:r>
      <w:proofErr w:type="gramEnd"/>
      <w:r w:rsidR="00F57BE2" w:rsidRPr="00F57BE2">
        <w:rPr>
          <w:szCs w:val="26"/>
        </w:rPr>
        <w:t xml:space="preserve"> thuế thu nhập cá nhân tại chi cục thuế khu vực</w:t>
      </w:r>
      <w:r w:rsidR="00F57BE2">
        <w:rPr>
          <w:szCs w:val="26"/>
        </w:rPr>
        <w:t>.</w:t>
      </w:r>
    </w:p>
    <w:p w14:paraId="3B088335" w14:textId="323FA6D1" w:rsidR="00370867" w:rsidRPr="00D17F23" w:rsidRDefault="00370867" w:rsidP="00370867">
      <w:pPr>
        <w:spacing w:before="120" w:line="312" w:lineRule="auto"/>
        <w:rPr>
          <w:szCs w:val="26"/>
        </w:rPr>
      </w:pPr>
      <w:r w:rsidRPr="00D17F23">
        <w:rPr>
          <w:szCs w:val="26"/>
        </w:rPr>
        <w:t xml:space="preserve">Đề án đã phân tích thực trạng quản lý </w:t>
      </w:r>
      <w:r w:rsidR="00F57BE2">
        <w:rPr>
          <w:szCs w:val="26"/>
        </w:rPr>
        <w:t xml:space="preserve">thu </w:t>
      </w:r>
      <w:r w:rsidRPr="00D17F23">
        <w:rPr>
          <w:szCs w:val="26"/>
        </w:rPr>
        <w:t xml:space="preserve">thuế TNCN tại </w:t>
      </w:r>
      <w:r w:rsidR="00F57BE2" w:rsidRPr="00F57BE2">
        <w:rPr>
          <w:rFonts w:eastAsia="Calibri"/>
          <w:bCs/>
          <w:iCs/>
          <w:szCs w:val="26"/>
          <w:lang w:val="vi-VN"/>
        </w:rPr>
        <w:t>Chi cục Thuế khu vực II, tỉnh Lạng Sơn</w:t>
      </w:r>
      <w:r w:rsidRPr="00D17F23">
        <w:rPr>
          <w:szCs w:val="26"/>
        </w:rPr>
        <w:t xml:space="preserve"> trong giai đoạn 2021 - 2023 theo các nội dung quản lý thuế: </w:t>
      </w:r>
      <w:r w:rsidR="00F57BE2">
        <w:rPr>
          <w:szCs w:val="26"/>
        </w:rPr>
        <w:t xml:space="preserve">thực trạng </w:t>
      </w:r>
      <w:r w:rsidR="00F57BE2" w:rsidRPr="00F57BE2">
        <w:rPr>
          <w:szCs w:val="26"/>
        </w:rPr>
        <w:t xml:space="preserve">tuyên truyền, hỗ trợ NNT; </w:t>
      </w:r>
      <w:r w:rsidR="00F57BE2">
        <w:rPr>
          <w:szCs w:val="26"/>
        </w:rPr>
        <w:t xml:space="preserve">thực trạng </w:t>
      </w:r>
      <w:r w:rsidR="00F57BE2" w:rsidRPr="00F57BE2">
        <w:rPr>
          <w:szCs w:val="26"/>
        </w:rPr>
        <w:t xml:space="preserve">quản lý đăng ký thuế; </w:t>
      </w:r>
      <w:r w:rsidR="00F57BE2">
        <w:rPr>
          <w:szCs w:val="26"/>
        </w:rPr>
        <w:t xml:space="preserve">thực trạng </w:t>
      </w:r>
      <w:r w:rsidR="00F57BE2" w:rsidRPr="00F57BE2">
        <w:rPr>
          <w:szCs w:val="26"/>
        </w:rPr>
        <w:t xml:space="preserve">quản lý khai thuế, nộp thuế, nợ thuế; </w:t>
      </w:r>
      <w:r w:rsidR="00F57BE2">
        <w:rPr>
          <w:szCs w:val="26"/>
        </w:rPr>
        <w:t xml:space="preserve">thực trạng </w:t>
      </w:r>
      <w:r w:rsidR="00F57BE2" w:rsidRPr="00F57BE2">
        <w:rPr>
          <w:szCs w:val="26"/>
        </w:rPr>
        <w:t xml:space="preserve">quản lý quyết toán thuế, hoàn thuế; </w:t>
      </w:r>
      <w:r w:rsidR="00F57BE2">
        <w:rPr>
          <w:szCs w:val="26"/>
        </w:rPr>
        <w:t xml:space="preserve">thực trạng </w:t>
      </w:r>
      <w:r w:rsidR="00F57BE2" w:rsidRPr="00F57BE2">
        <w:rPr>
          <w:szCs w:val="26"/>
        </w:rPr>
        <w:t>kiểm tra thuế</w:t>
      </w:r>
      <w:r w:rsidR="00F57BE2">
        <w:rPr>
          <w:szCs w:val="26"/>
        </w:rPr>
        <w:t>;</w:t>
      </w:r>
    </w:p>
    <w:p w14:paraId="509E5C9F" w14:textId="3E54FD6F" w:rsidR="00370867" w:rsidRPr="00D17F23" w:rsidRDefault="00370867" w:rsidP="00370867">
      <w:pPr>
        <w:spacing w:before="120" w:line="312" w:lineRule="auto"/>
        <w:rPr>
          <w:szCs w:val="26"/>
        </w:rPr>
      </w:pPr>
      <w:r w:rsidRPr="00D17F23">
        <w:rPr>
          <w:szCs w:val="26"/>
        </w:rPr>
        <w:t xml:space="preserve">Từ đó, tác giả đã đánh giá chung về </w:t>
      </w:r>
      <w:r w:rsidR="00F57BE2" w:rsidRPr="00D17F23">
        <w:rPr>
          <w:szCs w:val="26"/>
        </w:rPr>
        <w:t xml:space="preserve">quản lý </w:t>
      </w:r>
      <w:r w:rsidR="00F57BE2">
        <w:rPr>
          <w:szCs w:val="26"/>
        </w:rPr>
        <w:t xml:space="preserve">thu </w:t>
      </w:r>
      <w:r w:rsidR="00F57BE2" w:rsidRPr="00D17F23">
        <w:rPr>
          <w:szCs w:val="26"/>
        </w:rPr>
        <w:t xml:space="preserve">thuế TNCN tại </w:t>
      </w:r>
      <w:r w:rsidR="00F57BE2" w:rsidRPr="00F57BE2">
        <w:rPr>
          <w:rFonts w:eastAsia="Calibri"/>
          <w:bCs/>
          <w:iCs/>
          <w:szCs w:val="26"/>
          <w:lang w:val="vi-VN"/>
        </w:rPr>
        <w:t>Chi cục Thuế khu vực II, tỉnh Lạng Sơn</w:t>
      </w:r>
      <w:r w:rsidRPr="00D17F23">
        <w:rPr>
          <w:szCs w:val="26"/>
        </w:rPr>
        <w:t xml:space="preserve"> bao gồm việc phân tích các kết quả đạt được, hạn chế và nguyên nhân, làm cơ sở cho việc đề xuất các giải pháp tăng cường quản lý </w:t>
      </w:r>
      <w:r w:rsidR="00F57BE2">
        <w:rPr>
          <w:szCs w:val="26"/>
        </w:rPr>
        <w:t xml:space="preserve">thu </w:t>
      </w:r>
      <w:r w:rsidRPr="00D17F23">
        <w:rPr>
          <w:szCs w:val="26"/>
        </w:rPr>
        <w:t>thuế TNCN ở chương sau của đề án.</w:t>
      </w:r>
    </w:p>
    <w:p w14:paraId="66542DD4" w14:textId="29D292FB" w:rsidR="00370867" w:rsidRPr="00D17F23" w:rsidRDefault="00370867" w:rsidP="00370867">
      <w:pPr>
        <w:spacing w:before="120" w:line="312" w:lineRule="auto"/>
        <w:rPr>
          <w:szCs w:val="26"/>
          <w:lang w:val="vi-VN"/>
        </w:rPr>
      </w:pPr>
      <w:r w:rsidRPr="00D17F23">
        <w:rPr>
          <w:szCs w:val="26"/>
          <w:lang w:val="vi-VN"/>
        </w:rPr>
        <w:t>Dựa trên những phân tích và đánh giá thực trạng, đề án đã đề xuất 7 giải pháp nhằm tăng cường công tác quản lý</w:t>
      </w:r>
      <w:r w:rsidR="00C268D6">
        <w:rPr>
          <w:szCs w:val="26"/>
        </w:rPr>
        <w:t xml:space="preserve"> thu</w:t>
      </w:r>
      <w:r w:rsidRPr="00D17F23">
        <w:rPr>
          <w:szCs w:val="26"/>
          <w:lang w:val="vi-VN"/>
        </w:rPr>
        <w:t xml:space="preserve"> thuế TNCN tại </w:t>
      </w:r>
      <w:r w:rsidR="00C268D6" w:rsidRPr="00F57BE2">
        <w:rPr>
          <w:rFonts w:eastAsia="Calibri"/>
          <w:bCs/>
          <w:iCs/>
          <w:szCs w:val="26"/>
          <w:lang w:val="vi-VN"/>
        </w:rPr>
        <w:t>Chi cục Thuế khu vực II, tỉnh Lạng Sơn</w:t>
      </w:r>
      <w:r w:rsidRPr="00D17F23">
        <w:rPr>
          <w:szCs w:val="26"/>
          <w:lang w:val="vi-VN"/>
        </w:rPr>
        <w:t xml:space="preserve">. Đồng thời, đề án cũng đưa ra các kiến nghị cụ thể đối với Cục Thuế tỉnh </w:t>
      </w:r>
      <w:r w:rsidR="00C268D6">
        <w:rPr>
          <w:szCs w:val="26"/>
        </w:rPr>
        <w:t>Lạng Sơn</w:t>
      </w:r>
      <w:r w:rsidRPr="00D17F23">
        <w:rPr>
          <w:szCs w:val="26"/>
          <w:lang w:val="vi-VN"/>
        </w:rPr>
        <w:t xml:space="preserve">, Tổng cục Thuế và Bộ Tài chính và </w:t>
      </w:r>
      <w:r w:rsidR="00C268D6">
        <w:rPr>
          <w:szCs w:val="26"/>
        </w:rPr>
        <w:t>chính quyền địa phương</w:t>
      </w:r>
      <w:r w:rsidRPr="00D17F23">
        <w:rPr>
          <w:szCs w:val="26"/>
          <w:lang w:val="vi-VN"/>
        </w:rPr>
        <w:t>.</w:t>
      </w:r>
      <w:r w:rsidRPr="00D17F23">
        <w:rPr>
          <w:szCs w:val="26"/>
          <w:lang w:val="vi-VN"/>
        </w:rPr>
        <w:tab/>
      </w:r>
    </w:p>
    <w:p w14:paraId="466F17B3" w14:textId="5F8B461E" w:rsidR="00370867" w:rsidRPr="00D17F23" w:rsidRDefault="00370867" w:rsidP="00370867">
      <w:pPr>
        <w:spacing w:before="120" w:line="312" w:lineRule="auto"/>
        <w:rPr>
          <w:szCs w:val="26"/>
        </w:rPr>
      </w:pPr>
      <w:r w:rsidRPr="00D17F23">
        <w:rPr>
          <w:szCs w:val="26"/>
        </w:rPr>
        <w:t>Từ khóa: quản lý</w:t>
      </w:r>
      <w:r w:rsidR="00C268D6">
        <w:rPr>
          <w:szCs w:val="26"/>
        </w:rPr>
        <w:t xml:space="preserve"> </w:t>
      </w:r>
      <w:proofErr w:type="gramStart"/>
      <w:r w:rsidR="00C268D6">
        <w:rPr>
          <w:szCs w:val="26"/>
        </w:rPr>
        <w:t>thu</w:t>
      </w:r>
      <w:proofErr w:type="gramEnd"/>
      <w:r w:rsidRPr="00D17F23">
        <w:rPr>
          <w:szCs w:val="26"/>
        </w:rPr>
        <w:t xml:space="preserve"> thuế, thuế TNCN, </w:t>
      </w:r>
      <w:r w:rsidR="00C268D6" w:rsidRPr="00F57BE2">
        <w:rPr>
          <w:rFonts w:eastAsia="Calibri"/>
          <w:bCs/>
          <w:iCs/>
          <w:szCs w:val="26"/>
          <w:lang w:val="vi-VN"/>
        </w:rPr>
        <w:t>Chi cục Thuế khu vực II, tỉnh Lạng Sơn</w:t>
      </w:r>
      <w:r w:rsidRPr="00D17F23">
        <w:rPr>
          <w:szCs w:val="26"/>
        </w:rPr>
        <w:t>.</w:t>
      </w:r>
    </w:p>
    <w:p w14:paraId="2EED0745" w14:textId="77777777" w:rsidR="00370867" w:rsidRPr="00D17F23" w:rsidRDefault="00370867" w:rsidP="00370867">
      <w:pPr>
        <w:pStyle w:val="1"/>
        <w:spacing w:before="120" w:line="312" w:lineRule="auto"/>
        <w:jc w:val="both"/>
      </w:pPr>
    </w:p>
    <w:p w14:paraId="6E6D6DB7" w14:textId="77777777" w:rsidR="00BD3050" w:rsidRDefault="00BD3050">
      <w:bookmarkStart w:id="1" w:name="_GoBack"/>
      <w:bookmarkEnd w:id="1"/>
    </w:p>
    <w:sectPr w:rsidR="00BD3050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7"/>
    <w:rsid w:val="00370867"/>
    <w:rsid w:val="003A5271"/>
    <w:rsid w:val="00903648"/>
    <w:rsid w:val="00BA2B23"/>
    <w:rsid w:val="00BD3050"/>
    <w:rsid w:val="00C268D6"/>
    <w:rsid w:val="00DB7D4D"/>
    <w:rsid w:val="00F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B9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67"/>
    <w:pPr>
      <w:spacing w:after="0" w:line="360" w:lineRule="auto"/>
      <w:ind w:firstLine="720"/>
      <w:jc w:val="both"/>
    </w:pPr>
    <w:rPr>
      <w:rFonts w:eastAsia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qFormat/>
    <w:rsid w:val="00370867"/>
    <w:pPr>
      <w:spacing w:before="0"/>
      <w:ind w:firstLine="0"/>
      <w:jc w:val="center"/>
    </w:pPr>
    <w:rPr>
      <w:rFonts w:ascii="Times New Roman" w:hAnsi="Times New Roman"/>
      <w:b/>
      <w:color w:val="auto"/>
      <w:sz w:val="28"/>
      <w:szCs w:val="28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37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67"/>
    <w:pPr>
      <w:spacing w:after="0" w:line="360" w:lineRule="auto"/>
      <w:ind w:firstLine="720"/>
      <w:jc w:val="both"/>
    </w:pPr>
    <w:rPr>
      <w:rFonts w:eastAsia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qFormat/>
    <w:rsid w:val="00370867"/>
    <w:pPr>
      <w:spacing w:before="0"/>
      <w:ind w:firstLine="0"/>
      <w:jc w:val="center"/>
    </w:pPr>
    <w:rPr>
      <w:rFonts w:ascii="Times New Roman" w:hAnsi="Times New Roman"/>
      <w:b/>
      <w:color w:val="auto"/>
      <w:sz w:val="28"/>
      <w:szCs w:val="28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37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AdminPC</cp:lastModifiedBy>
  <cp:revision>2</cp:revision>
  <dcterms:created xsi:type="dcterms:W3CDTF">2024-11-08T06:47:00Z</dcterms:created>
  <dcterms:modified xsi:type="dcterms:W3CDTF">2024-11-12T01:00:00Z</dcterms:modified>
</cp:coreProperties>
</file>