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9F335" w14:textId="77777777" w:rsidR="00C01E46" w:rsidRDefault="00C01E46" w:rsidP="00C01E46">
      <w:pPr>
        <w:pStyle w:val="Heading1"/>
        <w:rPr>
          <w:color w:val="000000" w:themeColor="text1"/>
        </w:rPr>
      </w:pPr>
      <w:r>
        <w:rPr>
          <w:color w:val="000000" w:themeColor="text1"/>
        </w:rPr>
        <w:t>TÓM TẮT KẾT QUẢ NGHIÊN CỨU ĐỀ ÁN</w:t>
      </w:r>
    </w:p>
    <w:p w14:paraId="596425F3" w14:textId="77777777" w:rsidR="00C01E46" w:rsidRPr="00C01E46" w:rsidRDefault="00C01E46" w:rsidP="00C01E46">
      <w:pPr>
        <w:ind w:firstLine="709"/>
        <w:jc w:val="both"/>
        <w:rPr>
          <w:rStyle w:val="fontstyle01"/>
          <w:b w:val="0"/>
          <w:bCs w:val="0"/>
        </w:rPr>
      </w:pPr>
      <w:r w:rsidRPr="00C01E46">
        <w:rPr>
          <w:rStyle w:val="fontstyle01"/>
          <w:b w:val="0"/>
          <w:bCs w:val="0"/>
        </w:rPr>
        <w:t>Đề án tập trung vào việc phân tích thực trạng và đề xuất các giải pháp quản lý thu BHXH bắt buộc tại BHXH huyện Mê Linh – thành phố Hà Nội trong giai đoạn 2019-2023, với định hướng phát triển đến năm 2025. Kết cấu của đề án được chia thành 3 chương:</w:t>
      </w:r>
    </w:p>
    <w:p w14:paraId="7210B21E" w14:textId="77777777" w:rsidR="00C01E46" w:rsidRPr="00C01E46" w:rsidRDefault="00C01E46" w:rsidP="00C01E46">
      <w:pPr>
        <w:ind w:firstLine="709"/>
        <w:jc w:val="both"/>
        <w:rPr>
          <w:rStyle w:val="fontstyle01"/>
          <w:b w:val="0"/>
          <w:bCs w:val="0"/>
        </w:rPr>
      </w:pPr>
      <w:r w:rsidRPr="00C01E46">
        <w:rPr>
          <w:rStyle w:val="fontstyle01"/>
          <w:b w:val="0"/>
          <w:bCs w:val="0"/>
        </w:rPr>
        <w:t>Chương 1: Cơ sở lý luận và thực tiễn về bảo hiểm xã hội và quản lý thu bảo hiểm xã hội</w:t>
      </w:r>
    </w:p>
    <w:p w14:paraId="058E16BF" w14:textId="77777777" w:rsidR="00C01E46" w:rsidRPr="00C01E46" w:rsidRDefault="00C01E46" w:rsidP="00C01E46">
      <w:pPr>
        <w:ind w:firstLine="709"/>
        <w:jc w:val="both"/>
        <w:rPr>
          <w:rStyle w:val="fontstyle01"/>
          <w:b w:val="0"/>
          <w:bCs w:val="0"/>
        </w:rPr>
      </w:pPr>
      <w:r w:rsidRPr="00C01E46">
        <w:rPr>
          <w:rStyle w:val="fontstyle01"/>
          <w:b w:val="0"/>
          <w:bCs w:val="0"/>
        </w:rPr>
        <w:t>Đề án nêu tổng quan về quản lý thu bảo hiểm xã hội:</w:t>
      </w:r>
    </w:p>
    <w:p w14:paraId="370B5BF4" w14:textId="77777777" w:rsidR="00C01E46" w:rsidRPr="00C01E46" w:rsidRDefault="00C01E46" w:rsidP="00C01E46">
      <w:pPr>
        <w:ind w:firstLine="709"/>
        <w:jc w:val="both"/>
        <w:rPr>
          <w:rStyle w:val="fontstyle01"/>
          <w:b w:val="0"/>
          <w:bCs w:val="0"/>
        </w:rPr>
      </w:pPr>
      <w:r w:rsidRPr="00C01E46">
        <w:rPr>
          <w:rStyle w:val="fontstyle01"/>
          <w:b w:val="0"/>
          <w:bCs w:val="0"/>
        </w:rPr>
        <w:t>+ Vai trò của quản lý thu BHXH: bảo nguồn quỹ tài chính BHXH được</w:t>
      </w:r>
      <w:r w:rsidRPr="00C01E46">
        <w:rPr>
          <w:rStyle w:val="fontstyle01"/>
          <w:b w:val="0"/>
          <w:bCs w:val="0"/>
        </w:rPr>
        <w:br/>
        <w:t>tập trung thống nhất; tạo lập và thực hiện chính sách BHXH được diễn ra thuận lợi;</w:t>
      </w:r>
    </w:p>
    <w:p w14:paraId="49D36CD1" w14:textId="77777777" w:rsidR="00C01E46" w:rsidRPr="00C01E46" w:rsidRDefault="00C01E46" w:rsidP="00C01E46">
      <w:pPr>
        <w:ind w:firstLine="709"/>
        <w:jc w:val="both"/>
        <w:rPr>
          <w:rStyle w:val="fontstyle01"/>
          <w:b w:val="0"/>
          <w:bCs w:val="0"/>
        </w:rPr>
      </w:pPr>
      <w:r w:rsidRPr="00C01E46">
        <w:rPr>
          <w:rStyle w:val="fontstyle01"/>
          <w:b w:val="0"/>
          <w:bCs w:val="0"/>
        </w:rPr>
        <w:t>+ Nội dung Quản lý thu bảo hiểm xã hội.</w:t>
      </w:r>
    </w:p>
    <w:p w14:paraId="4F026B36" w14:textId="77777777" w:rsidR="00C01E46" w:rsidRPr="00C01E46" w:rsidRDefault="00C01E46" w:rsidP="00C01E46">
      <w:pPr>
        <w:ind w:firstLine="709"/>
        <w:jc w:val="both"/>
        <w:rPr>
          <w:rStyle w:val="fontstyle01"/>
          <w:b w:val="0"/>
          <w:bCs w:val="0"/>
        </w:rPr>
      </w:pPr>
      <w:r w:rsidRPr="00C01E46">
        <w:rPr>
          <w:rStyle w:val="fontstyle01"/>
          <w:b w:val="0"/>
          <w:bCs w:val="0"/>
        </w:rPr>
        <w:t>+ Các nguyên tắc Quản lý thu bảo hiểm xã hội.</w:t>
      </w:r>
    </w:p>
    <w:p w14:paraId="2AD7D5ED" w14:textId="77777777" w:rsidR="00C01E46" w:rsidRPr="00C01E46" w:rsidRDefault="00C01E46" w:rsidP="00C01E46">
      <w:pPr>
        <w:ind w:firstLine="709"/>
        <w:jc w:val="both"/>
        <w:rPr>
          <w:rStyle w:val="fontstyle01"/>
          <w:b w:val="0"/>
          <w:bCs w:val="0"/>
        </w:rPr>
      </w:pPr>
      <w:r w:rsidRPr="00C01E46">
        <w:rPr>
          <w:rStyle w:val="fontstyle01"/>
          <w:b w:val="0"/>
          <w:bCs w:val="0"/>
        </w:rPr>
        <w:t>+ Các nhân tố ảnh hưởng đến quản lý thu bảo hiểm xã hội cấp Quận/huyện.</w:t>
      </w:r>
    </w:p>
    <w:p w14:paraId="3536C0BC" w14:textId="77777777" w:rsidR="00C01E46" w:rsidRPr="00C01E46" w:rsidRDefault="00C01E46" w:rsidP="00C01E46">
      <w:pPr>
        <w:ind w:firstLine="709"/>
        <w:jc w:val="both"/>
        <w:rPr>
          <w:rStyle w:val="fontstyle01"/>
          <w:b w:val="0"/>
          <w:bCs w:val="0"/>
        </w:rPr>
      </w:pPr>
      <w:r w:rsidRPr="00C01E46">
        <w:rPr>
          <w:rStyle w:val="fontstyle01"/>
          <w:b w:val="0"/>
          <w:bCs w:val="0"/>
        </w:rPr>
        <w:t>Chương 2: Trạng Quản Lý Thu Bảo Hiểm Xã Hội Tại Bảo Hiểm Xã Hội Huyện Mê Linh – Thành Phố Hà Nội</w:t>
      </w:r>
    </w:p>
    <w:p w14:paraId="108CCBC2" w14:textId="77777777" w:rsidR="00C01E46" w:rsidRPr="00C01E46" w:rsidRDefault="00C01E46" w:rsidP="00C01E46">
      <w:pPr>
        <w:ind w:firstLine="709"/>
        <w:jc w:val="both"/>
        <w:rPr>
          <w:rStyle w:val="fontstyle01"/>
          <w:b w:val="0"/>
          <w:bCs w:val="0"/>
        </w:rPr>
      </w:pPr>
      <w:r w:rsidRPr="00C01E46">
        <w:rPr>
          <w:rStyle w:val="fontstyle01"/>
          <w:b w:val="0"/>
          <w:bCs w:val="0"/>
        </w:rPr>
        <w:t>Đề án đã phân tích sâu quá trình hình thành và phát sinh của bảo hiểm xã hội huyện Mê Linh. Thực trạng công tác quản lý thu Bảo hiểm xã hội huyện Mê Linh giai đoạn 2019 – 2023 về số lao động, tình hình chậm đóng và hạn chế nguyên nhân.</w:t>
      </w:r>
    </w:p>
    <w:p w14:paraId="047194B1" w14:textId="77777777" w:rsidR="00C01E46" w:rsidRPr="00C01E46" w:rsidRDefault="00C01E46" w:rsidP="00C01E46">
      <w:pPr>
        <w:ind w:firstLine="709"/>
        <w:jc w:val="both"/>
        <w:rPr>
          <w:rStyle w:val="fontstyle01"/>
          <w:b w:val="0"/>
          <w:bCs w:val="0"/>
        </w:rPr>
      </w:pPr>
      <w:r w:rsidRPr="00C01E46">
        <w:rPr>
          <w:rStyle w:val="fontstyle01"/>
          <w:b w:val="0"/>
          <w:bCs w:val="0"/>
        </w:rPr>
        <w:t xml:space="preserve">Chương 3: </w:t>
      </w:r>
      <w:bookmarkStart w:id="0" w:name="_Toc174872535"/>
      <w:r w:rsidRPr="00C01E46">
        <w:rPr>
          <w:rStyle w:val="fontstyle01"/>
          <w:b w:val="0"/>
          <w:bCs w:val="0"/>
        </w:rPr>
        <w:t xml:space="preserve">Giải pháp hoàn thiện quản lý thu bảo hiểm xã hội bắt buộc tại bảo hiểm xã hội huyện </w:t>
      </w:r>
      <w:bookmarkEnd w:id="0"/>
      <w:r w:rsidRPr="00C01E46">
        <w:rPr>
          <w:rStyle w:val="fontstyle01"/>
          <w:b w:val="0"/>
          <w:bCs w:val="0"/>
        </w:rPr>
        <w:t xml:space="preserve">Mê Linh </w:t>
      </w:r>
    </w:p>
    <w:p w14:paraId="1461FB28" w14:textId="77777777" w:rsidR="00C01E46" w:rsidRPr="00C01E46" w:rsidRDefault="00C01E46" w:rsidP="00C01E46">
      <w:pPr>
        <w:ind w:firstLine="709"/>
        <w:jc w:val="both"/>
        <w:rPr>
          <w:rStyle w:val="fontstyle01"/>
          <w:b w:val="0"/>
          <w:bCs w:val="0"/>
        </w:rPr>
      </w:pPr>
      <w:r w:rsidRPr="00C01E46">
        <w:rPr>
          <w:rStyle w:val="fontstyle01"/>
          <w:b w:val="0"/>
          <w:bCs w:val="0"/>
        </w:rPr>
        <w:t>Đề án nêu Định hướng và quan điểm hoàn thiện công tác Quản lý thu Bảo hiểm xã hội tại Bảo hiểm xã hội Mê Linh đến năm 2025</w:t>
      </w:r>
    </w:p>
    <w:p w14:paraId="0DECF17F" w14:textId="77777777" w:rsidR="00C01E46" w:rsidRPr="00C01E46" w:rsidRDefault="00C01E46" w:rsidP="00C01E46">
      <w:pPr>
        <w:ind w:firstLine="709"/>
        <w:jc w:val="both"/>
        <w:rPr>
          <w:rStyle w:val="fontstyle01"/>
          <w:b w:val="0"/>
          <w:bCs w:val="0"/>
        </w:rPr>
      </w:pPr>
      <w:r w:rsidRPr="00C01E46">
        <w:rPr>
          <w:rStyle w:val="fontstyle01"/>
          <w:b w:val="0"/>
          <w:bCs w:val="0"/>
        </w:rPr>
        <w:t xml:space="preserve">+ </w:t>
      </w:r>
      <w:bookmarkStart w:id="1" w:name="_Toc174872541"/>
      <w:r w:rsidRPr="00C01E46">
        <w:rPr>
          <w:rStyle w:val="fontstyle01"/>
          <w:b w:val="0"/>
          <w:bCs w:val="0"/>
        </w:rPr>
        <w:t>Tăng cường công tác thu, giảm nợ, quản lý đối tượng, khai thác mở rộng đối tượng tham gia bảo hiểm xã hội bắt buộc</w:t>
      </w:r>
      <w:bookmarkEnd w:id="1"/>
      <w:r w:rsidRPr="00C01E46">
        <w:rPr>
          <w:rStyle w:val="fontstyle01"/>
          <w:b w:val="0"/>
          <w:bCs w:val="0"/>
        </w:rPr>
        <w:t xml:space="preserve"> cùng với Thực hiện tốt các chỉ tiêu BHXH thành phố giao và Hội đồng nhân dân huyện giao theo từ năm. Trong triển khai có sự phối hợp của cả hệ thống chính trị, các phòng, ban, ngành theo Quy chế phối hợp số 167/QCPH-CA-LĐTBXH-YT-LĐLĐ-CCT-TT-BHXH của Liên ngành: Công an, phòng Lao động Thương binh và Xã hội, Liên đoàn lao động, Chi Cục thuế khu vực Sóc Sơn – Mê Linh, Thanh tra, BHXH đến năm 2025.</w:t>
      </w:r>
    </w:p>
    <w:p w14:paraId="55F93EF2" w14:textId="77777777" w:rsidR="00C01E46" w:rsidRPr="00C01E46" w:rsidRDefault="00C01E46" w:rsidP="00C01E46">
      <w:pPr>
        <w:ind w:firstLine="709"/>
        <w:jc w:val="both"/>
        <w:rPr>
          <w:rStyle w:val="fontstyle01"/>
          <w:b w:val="0"/>
          <w:bCs w:val="0"/>
        </w:rPr>
      </w:pPr>
      <w:r w:rsidRPr="00C01E46">
        <w:rPr>
          <w:rStyle w:val="fontstyle01"/>
          <w:b w:val="0"/>
          <w:bCs w:val="0"/>
        </w:rPr>
        <w:t>+ đẩy mạnh công tác cải cách hành chính, ứng dụng công nghệ thông tin theo Đề án số 06.</w:t>
      </w:r>
    </w:p>
    <w:p w14:paraId="55F0B164" w14:textId="77777777" w:rsidR="00C01E46" w:rsidRPr="00C01E46" w:rsidRDefault="00C01E46" w:rsidP="00C01E46">
      <w:pPr>
        <w:ind w:firstLine="709"/>
        <w:jc w:val="both"/>
        <w:rPr>
          <w:rStyle w:val="fontstyle01"/>
          <w:b w:val="0"/>
          <w:bCs w:val="0"/>
        </w:rPr>
      </w:pPr>
      <w:r w:rsidRPr="00C01E46">
        <w:rPr>
          <w:rStyle w:val="fontstyle01"/>
          <w:b w:val="0"/>
          <w:bCs w:val="0"/>
        </w:rPr>
        <w:t>thực hiện công tác xác nhận quá trình tham gia bảo hiểm xã hội, trả sổ BHXH cho người lao động theo chỉ đạo của ngành nhằm đảm bảo cho người lao động yên tâm làm việc, giúp cho người lao động tự kiểm tra và giám sát việc thực hiện đóng BHXH của mình.</w:t>
      </w:r>
    </w:p>
    <w:p w14:paraId="0DD21D40" w14:textId="77777777" w:rsidR="00C01E46" w:rsidRPr="00C01E46" w:rsidRDefault="00C01E46" w:rsidP="00C01E46">
      <w:pPr>
        <w:ind w:firstLine="709"/>
        <w:jc w:val="both"/>
        <w:rPr>
          <w:rStyle w:val="fontstyle01"/>
          <w:b w:val="0"/>
          <w:bCs w:val="0"/>
        </w:rPr>
      </w:pPr>
      <w:r w:rsidRPr="00C01E46">
        <w:rPr>
          <w:rStyle w:val="fontstyle01"/>
          <w:b w:val="0"/>
          <w:bCs w:val="0"/>
        </w:rPr>
        <w:t>Tăng cường quản lý đối tượng, theo dõi cắt giảm kịp thời những trường hợp hết hạn tham gia bảo hiểm xã hội.</w:t>
      </w:r>
    </w:p>
    <w:p w14:paraId="50B8E482" w14:textId="77777777" w:rsidR="00C01E46" w:rsidRPr="00C01E46" w:rsidRDefault="00C01E46" w:rsidP="00C01E46">
      <w:pPr>
        <w:ind w:firstLine="709"/>
        <w:jc w:val="both"/>
        <w:rPr>
          <w:rStyle w:val="fontstyle01"/>
          <w:b w:val="0"/>
          <w:bCs w:val="0"/>
        </w:rPr>
      </w:pPr>
      <w:r w:rsidRPr="00C01E46">
        <w:rPr>
          <w:rStyle w:val="fontstyle01"/>
          <w:b w:val="0"/>
          <w:bCs w:val="0"/>
        </w:rPr>
        <w:t>Phấn đấu triển khai quyết liệt các quy định mới về BHXH, BHYT; nâng cao hiệu quả công tác quản lý thu, thu nợ BHXH, BHTN, BHYT; đảm bảo thu đúng, thu đủ, thu kịp thời và chống thất thu, nợ đọng tiền đóng BHXH, BHYT. Đồng thời, chú trọng kiểm tra, giám sát, đôn đốc các đơn vị trong quá trình triển khai thực hiện; tăng cường công tác thanh tra, kiểm tra liên ngành và thanh tra chuyên ngành đột xuất tại các đơn vị có dấu hiệu nợ đọng, lạm dụng quỹ BHXH, BHYT; kịp thời xử lý, kiến nghị xử lý các hành vi vi phạm pháp luật BHXH, BHTN, BHYT; góp phần giảm tối đa tình trạng chậm nộp BHXH, BHYT trên địa bàn để đảm bảo quyền và lợi ích hợp pháp của NLĐ; đẩy mạnh ứng dụng công nghệ thông tin, đẩy mạnh cải cách hành chính.</w:t>
      </w:r>
    </w:p>
    <w:p w14:paraId="60233B46" w14:textId="77777777" w:rsidR="00C01E46" w:rsidRPr="00C01E46" w:rsidRDefault="00C01E46" w:rsidP="00C01E46"/>
    <w:sectPr w:rsidR="00C01E46" w:rsidRPr="00C01E46" w:rsidSect="00C01E4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46"/>
    <w:rsid w:val="003E3F5A"/>
    <w:rsid w:val="00C0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9144"/>
  <w15:chartTrackingRefBased/>
  <w15:docId w15:val="{C1B89D39-AF81-4D39-BBA6-C58230E3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E4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autoRedefine/>
    <w:uiPriority w:val="9"/>
    <w:qFormat/>
    <w:rsid w:val="00C01E46"/>
    <w:pPr>
      <w:keepNext/>
      <w:keepLines/>
      <w:spacing w:line="360" w:lineRule="auto"/>
      <w:jc w:val="center"/>
      <w:outlineLvl w:val="0"/>
    </w:pPr>
    <w:rPr>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E46"/>
    <w:rPr>
      <w:rFonts w:ascii="Times New Roman" w:eastAsia="Times New Roman" w:hAnsi="Times New Roman" w:cs="Times New Roman"/>
      <w:b/>
      <w:bCs/>
      <w:kern w:val="0"/>
      <w:sz w:val="32"/>
      <w:szCs w:val="28"/>
      <w14:ligatures w14:val="none"/>
    </w:rPr>
  </w:style>
  <w:style w:type="character" w:customStyle="1" w:styleId="fontstyle01">
    <w:name w:val="fontstyle01"/>
    <w:rsid w:val="00C01E46"/>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2024-12-20T04:24:00Z</dcterms:created>
  <dcterms:modified xsi:type="dcterms:W3CDTF">2024-12-20T04:25:00Z</dcterms:modified>
</cp:coreProperties>
</file>